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7" w:rsidRPr="00C715C2" w:rsidRDefault="00356847" w:rsidP="00356847">
      <w:pPr>
        <w:spacing w:line="360" w:lineRule="auto"/>
        <w:ind w:left="720"/>
        <w:jc w:val="both"/>
        <w:rPr>
          <w:rFonts w:ascii="Verdana" w:hAnsi="Verdana"/>
          <w:b/>
          <w:sz w:val="26"/>
          <w:szCs w:val="26"/>
        </w:rPr>
      </w:pPr>
      <w:r w:rsidRPr="00C715C2">
        <w:rPr>
          <w:rFonts w:ascii="Verdana" w:hAnsi="Verdana"/>
          <w:b/>
          <w:sz w:val="26"/>
          <w:szCs w:val="26"/>
        </w:rPr>
        <w:t>Streszczenie</w:t>
      </w:r>
    </w:p>
    <w:p w:rsidR="00356847" w:rsidRPr="00C715C2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     Choroba zwyrodnieniowa stawów dotyka najczęściej pacjentów powyżej 50 roku życia, ale może pojawić się w każdym wieku, szczególnie gdy staw ulegnie uszkodzeniu. Choroba dotyczy przeważnie dużych, przenoszących obciążenia stawów kończyn dolnych: stawu biodrowego i kolanowego. U pacjentów z chorobą zwyrodnieniową wokół zajętego stawu często powstają wyrośla kostne (</w:t>
      </w:r>
      <w:proofErr w:type="spellStart"/>
      <w:r w:rsidRPr="00C715C2">
        <w:rPr>
          <w:rFonts w:ascii="Verdana" w:hAnsi="Verdana"/>
          <w:sz w:val="26"/>
          <w:szCs w:val="26"/>
        </w:rPr>
        <w:t>osteofity</w:t>
      </w:r>
      <w:proofErr w:type="spellEnd"/>
      <w:r w:rsidRPr="00C715C2">
        <w:rPr>
          <w:rFonts w:ascii="Verdana" w:hAnsi="Verdana"/>
          <w:sz w:val="26"/>
          <w:szCs w:val="26"/>
        </w:rPr>
        <w:t>), które dodatkowo ograniczają zakres ruchu. Zmiany zwyrodnieniowe stawu biodrowego są najczęściej określane jako “zwyrodnienie ze zużycia”. Mimo, że proces zwyrodnienia może ulec przyśpieszeniu np. po przebytym urazie stawu biodrowego,            w wielu przypadkach postępuje on w toku normalnej pracy stawu. </w:t>
      </w:r>
    </w:p>
    <w:p w:rsidR="00356847" w:rsidRPr="00C715C2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     Ból można w jakiś sposób zredukować, jednak zmian zwyrodnieniowyc</w:t>
      </w:r>
      <w:r>
        <w:rPr>
          <w:rFonts w:ascii="Verdana" w:hAnsi="Verdana"/>
          <w:sz w:val="26"/>
          <w:szCs w:val="26"/>
        </w:rPr>
        <w:t xml:space="preserve">h, do których już doszło – nie. </w:t>
      </w:r>
      <w:r w:rsidRPr="00C715C2">
        <w:rPr>
          <w:rFonts w:ascii="Verdana" w:hAnsi="Verdana"/>
          <w:sz w:val="26"/>
          <w:szCs w:val="26"/>
        </w:rPr>
        <w:t>Choroby zwyrodnieniowej nie możemy leczyć przyczynowo, a tylko objawowo. Ratunkiem dla większości pacjentów jest wykonana w odpowiednim czasie alloplastyka stawowa. To tzw. „złoty standard” leczenia choroby zwyrodnieniowej. WHO zakwalifikowała alloplastykę stawową do jednej z najbardziej efektywnych procedur w medycynie. A w połączeniu z usprawnianiem  zmierza do jak najszybszego przywrócenia osobie chorej, możliwie jak największej sprawności fizycznej, psychicznej  i zawodowej.</w:t>
      </w:r>
    </w:p>
    <w:p w:rsidR="00356847" w:rsidRPr="00C715C2" w:rsidRDefault="00356847" w:rsidP="00356847">
      <w:pPr>
        <w:spacing w:line="360" w:lineRule="auto"/>
        <w:ind w:right="-180"/>
        <w:jc w:val="both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    Celem pracy było</w:t>
      </w:r>
      <w:r w:rsidRPr="00C715C2">
        <w:rPr>
          <w:rFonts w:ascii="Verdana" w:hAnsi="Verdana"/>
          <w:bCs/>
          <w:sz w:val="26"/>
          <w:szCs w:val="26"/>
        </w:rPr>
        <w:t xml:space="preserve"> przedstawienie uwarunkowań medycznych                i organizacyjnych procesu rehabilitacji u pacjentów po alloplastyce stawu biodrowego, j</w:t>
      </w:r>
      <w:r>
        <w:rPr>
          <w:rFonts w:ascii="Verdana" w:hAnsi="Verdana"/>
          <w:bCs/>
          <w:sz w:val="26"/>
          <w:szCs w:val="26"/>
        </w:rPr>
        <w:t>ak również ukazanie ich potrzeb</w:t>
      </w:r>
      <w:r w:rsidRPr="00C715C2">
        <w:rPr>
          <w:rFonts w:ascii="Verdana" w:hAnsi="Verdana"/>
          <w:bCs/>
          <w:sz w:val="26"/>
          <w:szCs w:val="26"/>
        </w:rPr>
        <w:t xml:space="preserve"> w zakresie rehabilitacji leczniczej oraz ocena  wpływu badanych parametrów na  poprawę jakości życia  pacjentów  po alloplastyce stawowej.</w:t>
      </w:r>
    </w:p>
    <w:p w:rsidR="00356847" w:rsidRPr="00C715C2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     Badania przeprowadzono w latach 2010-2012 w Klinice Rehabilitacji III Szpitala Miejskiego im. </w:t>
      </w:r>
      <w:proofErr w:type="spellStart"/>
      <w:r w:rsidRPr="00C715C2">
        <w:rPr>
          <w:rFonts w:ascii="Verdana" w:hAnsi="Verdana"/>
          <w:sz w:val="26"/>
          <w:szCs w:val="26"/>
        </w:rPr>
        <w:t>Jonschera</w:t>
      </w:r>
      <w:proofErr w:type="spellEnd"/>
      <w:r w:rsidRPr="00C715C2">
        <w:rPr>
          <w:rFonts w:ascii="Verdana" w:hAnsi="Verdana"/>
          <w:sz w:val="26"/>
          <w:szCs w:val="26"/>
        </w:rPr>
        <w:t xml:space="preserve"> w Łodzi oraz               </w:t>
      </w:r>
      <w:r w:rsidRPr="00C715C2">
        <w:rPr>
          <w:rFonts w:ascii="Verdana" w:hAnsi="Verdana"/>
          <w:sz w:val="26"/>
          <w:szCs w:val="26"/>
        </w:rPr>
        <w:lastRenderedPageBreak/>
        <w:t>w Zakładzie Rehabilitacji Leczniczej i Medycyny Fizykalnej                     w Piotrkowie Trybunalskim. Materiał badany stanowiło 150 pacjentów  obojga płci (87  kobiet i 63 mężczyzn) w wieku 50 - 70 lat.</w:t>
      </w:r>
      <w:r w:rsidRPr="00C715C2">
        <w:rPr>
          <w:rFonts w:ascii="Verdana" w:hAnsi="Verdana"/>
          <w:bCs/>
          <w:sz w:val="26"/>
          <w:szCs w:val="26"/>
        </w:rPr>
        <w:t xml:space="preserve"> Endoprotezę bezcementową zastosowano u 134 pacjentów,                a cementową u 16 pacjentów. W obu grupach żaden z pacjentów nie miał zastosowanej endoprotezy hybrydowej.</w:t>
      </w:r>
    </w:p>
    <w:p w:rsidR="00356847" w:rsidRPr="00C715C2" w:rsidRDefault="00356847" w:rsidP="00356847">
      <w:pPr>
        <w:spacing w:line="360" w:lineRule="auto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 xml:space="preserve">    Do badania została wybrana:</w:t>
      </w:r>
    </w:p>
    <w:p w:rsidR="00356847" w:rsidRPr="00C715C2" w:rsidRDefault="00356847" w:rsidP="00356847">
      <w:pPr>
        <w:spacing w:line="360" w:lineRule="auto"/>
        <w:ind w:left="360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 xml:space="preserve">-  grupa pacjentów, którzy nie zostali poddani rehabilitacji bezpośrednio po operacji (w 6 miesięcy lub później) – grupa A (grupa porównawcza), </w:t>
      </w:r>
    </w:p>
    <w:p w:rsidR="00356847" w:rsidRPr="00C715C2" w:rsidRDefault="00356847" w:rsidP="00356847">
      <w:pPr>
        <w:spacing w:line="360" w:lineRule="auto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 xml:space="preserve">    - grupa pacjentów, którzy poddan</w:t>
      </w:r>
      <w:r>
        <w:rPr>
          <w:rFonts w:ascii="Verdana" w:hAnsi="Verdana"/>
          <w:bCs/>
          <w:sz w:val="26"/>
          <w:szCs w:val="26"/>
        </w:rPr>
        <w:t xml:space="preserve">i zostali rehabilitacji   </w:t>
      </w:r>
      <w:r w:rsidRPr="00C715C2">
        <w:rPr>
          <w:rFonts w:ascii="Verdana" w:hAnsi="Verdana"/>
          <w:bCs/>
          <w:sz w:val="26"/>
          <w:szCs w:val="26"/>
        </w:rPr>
        <w:t>bezpośrednio po operacji (maksym</w:t>
      </w:r>
      <w:r>
        <w:rPr>
          <w:rFonts w:ascii="Verdana" w:hAnsi="Verdana"/>
          <w:bCs/>
          <w:sz w:val="26"/>
          <w:szCs w:val="26"/>
        </w:rPr>
        <w:t xml:space="preserve">alnie w 14 dni) – grupa B </w:t>
      </w:r>
      <w:r w:rsidRPr="00C715C2">
        <w:rPr>
          <w:rFonts w:ascii="Verdana" w:hAnsi="Verdana"/>
          <w:bCs/>
          <w:sz w:val="26"/>
          <w:szCs w:val="26"/>
        </w:rPr>
        <w:t xml:space="preserve">(grupa badana). </w:t>
      </w:r>
    </w:p>
    <w:p w:rsidR="00356847" w:rsidRPr="00C715C2" w:rsidRDefault="00356847" w:rsidP="00356847">
      <w:pPr>
        <w:spacing w:line="360" w:lineRule="auto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    </w:t>
      </w:r>
      <w:r w:rsidRPr="00C715C2">
        <w:rPr>
          <w:rFonts w:ascii="Verdana" w:hAnsi="Verdana"/>
          <w:bCs/>
          <w:sz w:val="26"/>
          <w:szCs w:val="26"/>
        </w:rPr>
        <w:t>Przed rozpoczęciem rehabilitacji, bezpośrednio po rehabilitacji oraz w 30 dni po zakończonej rehabilitacji u wszystkich pacjentów przeprowadzone zostały następujące badania:</w:t>
      </w:r>
    </w:p>
    <w:p w:rsidR="00356847" w:rsidRPr="00C715C2" w:rsidRDefault="00356847" w:rsidP="00356847">
      <w:pPr>
        <w:spacing w:line="360" w:lineRule="auto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>1. Ocena funkcjonalności stawu biodrowego wg:</w:t>
      </w:r>
    </w:p>
    <w:p w:rsidR="00356847" w:rsidRPr="00C715C2" w:rsidRDefault="00356847" w:rsidP="00356847">
      <w:pPr>
        <w:spacing w:line="360" w:lineRule="auto"/>
        <w:ind w:left="720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>-skali Harrisa,</w:t>
      </w:r>
    </w:p>
    <w:p w:rsidR="00356847" w:rsidRPr="00C715C2" w:rsidRDefault="00356847" w:rsidP="00356847">
      <w:pPr>
        <w:spacing w:line="360" w:lineRule="auto"/>
        <w:ind w:left="720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 xml:space="preserve"> -wskaźnika kondycji stawów kończyn dolnych WOMAC</w:t>
      </w:r>
      <w:r w:rsidRPr="00C715C2">
        <w:rPr>
          <w:rFonts w:ascii="Verdana" w:hAnsi="Verdana"/>
          <w:b/>
          <w:bCs/>
          <w:sz w:val="26"/>
          <w:szCs w:val="26"/>
        </w:rPr>
        <w:t xml:space="preserve">    </w:t>
      </w:r>
      <w:r w:rsidRPr="00C715C2">
        <w:rPr>
          <w:rFonts w:ascii="Verdana" w:hAnsi="Verdana"/>
          <w:bCs/>
          <w:sz w:val="26"/>
          <w:szCs w:val="26"/>
        </w:rPr>
        <w:t xml:space="preserve">(Western Ontario and </w:t>
      </w:r>
      <w:proofErr w:type="spellStart"/>
      <w:r w:rsidRPr="00C715C2">
        <w:rPr>
          <w:rFonts w:ascii="Verdana" w:hAnsi="Verdana"/>
          <w:bCs/>
          <w:sz w:val="26"/>
          <w:szCs w:val="26"/>
        </w:rPr>
        <w:t>McMaster</w:t>
      </w:r>
      <w:proofErr w:type="spellEnd"/>
      <w:r w:rsidRPr="00C715C2">
        <w:rPr>
          <w:rFonts w:ascii="Verdana" w:hAnsi="Verdana"/>
          <w:bCs/>
          <w:sz w:val="26"/>
          <w:szCs w:val="26"/>
        </w:rPr>
        <w:t xml:space="preserve"> </w:t>
      </w:r>
      <w:proofErr w:type="spellStart"/>
      <w:r w:rsidRPr="00C715C2">
        <w:rPr>
          <w:rFonts w:ascii="Verdana" w:hAnsi="Verdana"/>
          <w:bCs/>
          <w:sz w:val="26"/>
          <w:szCs w:val="26"/>
        </w:rPr>
        <w:t>Universities</w:t>
      </w:r>
      <w:proofErr w:type="spellEnd"/>
      <w:r w:rsidRPr="00C715C2">
        <w:rPr>
          <w:rFonts w:ascii="Verdana" w:hAnsi="Verdana"/>
          <w:bCs/>
          <w:sz w:val="26"/>
          <w:szCs w:val="26"/>
        </w:rPr>
        <w:t xml:space="preserve"> </w:t>
      </w:r>
      <w:proofErr w:type="spellStart"/>
      <w:r w:rsidRPr="00C715C2">
        <w:rPr>
          <w:rFonts w:ascii="Verdana" w:hAnsi="Verdana"/>
          <w:bCs/>
          <w:sz w:val="26"/>
          <w:szCs w:val="26"/>
        </w:rPr>
        <w:t>Arthritis</w:t>
      </w:r>
      <w:proofErr w:type="spellEnd"/>
      <w:r w:rsidRPr="00C715C2">
        <w:rPr>
          <w:rFonts w:ascii="Verdana" w:hAnsi="Verdana"/>
          <w:bCs/>
          <w:sz w:val="26"/>
          <w:szCs w:val="26"/>
        </w:rPr>
        <w:t xml:space="preserve"> Index)</w:t>
      </w:r>
      <w:r w:rsidRPr="00C715C2">
        <w:rPr>
          <w:rFonts w:ascii="Verdana" w:hAnsi="Verdana"/>
          <w:sz w:val="26"/>
          <w:szCs w:val="26"/>
        </w:rPr>
        <w:t xml:space="preserve"> </w:t>
      </w:r>
    </w:p>
    <w:p w:rsidR="00356847" w:rsidRPr="00C715C2" w:rsidRDefault="00356847" w:rsidP="00356847">
      <w:pPr>
        <w:spacing w:line="360" w:lineRule="auto"/>
        <w:jc w:val="both"/>
        <w:outlineLvl w:val="2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>2. Ocena bólu wg:</w:t>
      </w:r>
    </w:p>
    <w:p w:rsidR="00356847" w:rsidRPr="00C715C2" w:rsidRDefault="00356847" w:rsidP="00356847">
      <w:pPr>
        <w:tabs>
          <w:tab w:val="left" w:pos="709"/>
        </w:tabs>
        <w:spacing w:line="360" w:lineRule="auto"/>
        <w:ind w:left="720"/>
        <w:jc w:val="both"/>
        <w:outlineLvl w:val="2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>-</w:t>
      </w:r>
      <w:r w:rsidRPr="00C715C2">
        <w:rPr>
          <w:rFonts w:ascii="Verdana" w:hAnsi="Verdana"/>
          <w:sz w:val="26"/>
          <w:szCs w:val="26"/>
        </w:rPr>
        <w:t>zmodyfikowa</w:t>
      </w:r>
      <w:r>
        <w:rPr>
          <w:rFonts w:ascii="Verdana" w:hAnsi="Verdana"/>
          <w:sz w:val="26"/>
          <w:szCs w:val="26"/>
        </w:rPr>
        <w:t xml:space="preserve">nego </w:t>
      </w:r>
      <w:bookmarkStart w:id="0" w:name="_GoBack"/>
      <w:bookmarkEnd w:id="0"/>
      <w:r w:rsidRPr="00C715C2">
        <w:rPr>
          <w:rFonts w:ascii="Verdana" w:hAnsi="Verdana"/>
          <w:sz w:val="26"/>
          <w:szCs w:val="26"/>
        </w:rPr>
        <w:t>kwestionariusza wskaźników  bólu    </w:t>
      </w:r>
      <w:proofErr w:type="spellStart"/>
      <w:r w:rsidRPr="00C715C2">
        <w:rPr>
          <w:rFonts w:ascii="Verdana" w:hAnsi="Verdana"/>
          <w:sz w:val="26"/>
          <w:szCs w:val="26"/>
        </w:rPr>
        <w:t>Laitinen’a</w:t>
      </w:r>
      <w:proofErr w:type="spellEnd"/>
      <w:r w:rsidRPr="00C715C2">
        <w:rPr>
          <w:rFonts w:ascii="Verdana" w:hAnsi="Verdana"/>
          <w:sz w:val="26"/>
          <w:szCs w:val="26"/>
        </w:rPr>
        <w:t>;</w:t>
      </w:r>
    </w:p>
    <w:p w:rsidR="00356847" w:rsidRPr="00C715C2" w:rsidRDefault="00356847" w:rsidP="00356847">
      <w:pPr>
        <w:tabs>
          <w:tab w:val="left" w:pos="709"/>
        </w:tabs>
        <w:spacing w:line="360" w:lineRule="auto"/>
        <w:jc w:val="both"/>
        <w:outlineLvl w:val="2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bCs/>
          <w:sz w:val="26"/>
          <w:szCs w:val="26"/>
        </w:rPr>
        <w:t xml:space="preserve">     Dodatkowo, dla potrzeb pracy wśród obu grup pacjentów bezpośrednio po zakończonej rehabilitacji przeprowadzono badanie ankietowe, które pozwoliło na rozszerzenie analizy o jakościowe charakterystyki dotyczące przebiegu leczenia.</w:t>
      </w:r>
      <w:r w:rsidRPr="00C715C2">
        <w:rPr>
          <w:rFonts w:ascii="Verdana" w:hAnsi="Verdana"/>
          <w:sz w:val="26"/>
          <w:szCs w:val="26"/>
        </w:rPr>
        <w:t xml:space="preserve">  </w:t>
      </w:r>
    </w:p>
    <w:p w:rsidR="00356847" w:rsidRPr="00C715C2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lastRenderedPageBreak/>
        <w:t xml:space="preserve">     Rehabilitacja pacjentów prowadzona była z wykorzystaniem zabiegów kinezyterapii, fizykoterapii i hydroterapii. U większości pacjentów zabiegi kinezyterapii prowadzono dwa razy dzienne, uwzględniając szczególnie ćwiczenia lokomocyjne. U wszystkich pacjentów usprawnianie lecznicze prowadzono zgodnie  z założonym programem usprawniania ruchowego w celu zwiększenia siły mięśniowej mięśni kończyny operowanej, poprawy zakresu ruchu            w stawie operowanym i poprawy kondycji ogólnej. </w:t>
      </w:r>
    </w:p>
    <w:p w:rsidR="00356847" w:rsidRPr="00C715C2" w:rsidRDefault="00356847" w:rsidP="00356847">
      <w:pPr>
        <w:spacing w:line="360" w:lineRule="auto"/>
        <w:ind w:firstLine="709"/>
        <w:jc w:val="both"/>
        <w:rPr>
          <w:rFonts w:ascii="Verdana" w:eastAsia="Calibri" w:hAnsi="Verdana"/>
          <w:bCs/>
          <w:sz w:val="26"/>
          <w:szCs w:val="26"/>
        </w:rPr>
      </w:pPr>
      <w:r w:rsidRPr="00C715C2">
        <w:rPr>
          <w:rFonts w:ascii="Verdana" w:eastAsia="Calibri" w:hAnsi="Verdana"/>
          <w:bCs/>
          <w:sz w:val="26"/>
          <w:szCs w:val="26"/>
        </w:rPr>
        <w:t>Przeprowadzona analiza wykazała wysoce istotnie statystycznie poprawę funkcjonalności stawu biodrowego i poprawę jakości życia  u pacjentów po wczesnej rehabilitacji medycznej w porównaniu do pacjentów, u których rehabilitacja została rozpoczęta ok 6 miesięcy, a nawet później od zabiegu całkowitej alloplastyki stawu biodrowego.</w:t>
      </w:r>
    </w:p>
    <w:p w:rsidR="00356847" w:rsidRPr="00C715C2" w:rsidRDefault="00356847" w:rsidP="00356847">
      <w:pPr>
        <w:spacing w:line="360" w:lineRule="auto"/>
        <w:ind w:firstLine="709"/>
        <w:jc w:val="both"/>
        <w:rPr>
          <w:rFonts w:ascii="Verdana" w:eastAsia="Calibri" w:hAnsi="Verdana"/>
          <w:b/>
          <w:bCs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>Wyniki badań pozwoliły postawić następujące wnioski:</w:t>
      </w:r>
    </w:p>
    <w:p w:rsidR="00356847" w:rsidRPr="00C715C2" w:rsidRDefault="00356847" w:rsidP="00356847">
      <w:pPr>
        <w:pStyle w:val="Default"/>
        <w:spacing w:line="360" w:lineRule="auto"/>
        <w:jc w:val="both"/>
        <w:rPr>
          <w:rFonts w:ascii="Verdana" w:hAnsi="Verdana"/>
          <w:color w:val="auto"/>
          <w:sz w:val="26"/>
          <w:szCs w:val="26"/>
        </w:rPr>
      </w:pPr>
      <w:r w:rsidRPr="00C715C2">
        <w:rPr>
          <w:rFonts w:ascii="Verdana" w:hAnsi="Verdana"/>
          <w:color w:val="auto"/>
          <w:sz w:val="26"/>
          <w:szCs w:val="26"/>
        </w:rPr>
        <w:t>1. Wczesne postępowanie rehabilitacyjne przeprowadzone                u pacjentów po alloplastyce stawu biodrowego wpłynęło istotnie na poprawę ruchomości  w  operowanym stawie i stanowi jedno                  z  głównych pozytywnych uwarunkowań medycznych procesu rehabilitacji.</w:t>
      </w:r>
    </w:p>
    <w:p w:rsidR="00356847" w:rsidRPr="00C715C2" w:rsidRDefault="00356847" w:rsidP="00356847">
      <w:pPr>
        <w:pStyle w:val="Default"/>
        <w:spacing w:line="360" w:lineRule="auto"/>
        <w:jc w:val="both"/>
        <w:rPr>
          <w:rFonts w:ascii="Verdana" w:hAnsi="Verdana"/>
          <w:color w:val="auto"/>
          <w:sz w:val="26"/>
          <w:szCs w:val="26"/>
        </w:rPr>
      </w:pPr>
      <w:r w:rsidRPr="00C715C2">
        <w:rPr>
          <w:rFonts w:ascii="Verdana" w:hAnsi="Verdana"/>
          <w:color w:val="auto"/>
          <w:sz w:val="26"/>
          <w:szCs w:val="26"/>
        </w:rPr>
        <w:t xml:space="preserve">2.  Zabiegi fizjoterapeutyczne u pacjentów po alloplastyce stawu </w:t>
      </w:r>
      <w:r w:rsidRPr="00C715C2">
        <w:rPr>
          <w:rFonts w:ascii="Verdana" w:hAnsi="Verdana"/>
          <w:color w:val="auto"/>
          <w:sz w:val="26"/>
          <w:szCs w:val="26"/>
        </w:rPr>
        <w:br/>
        <w:t>biodrowego wpływają korzystnie na poprawę chodu umożliwiając pokonywanie większego dystansu.</w:t>
      </w:r>
    </w:p>
    <w:p w:rsidR="00356847" w:rsidRPr="00C715C2" w:rsidRDefault="00356847" w:rsidP="00356847">
      <w:pPr>
        <w:pStyle w:val="Default"/>
        <w:spacing w:line="360" w:lineRule="auto"/>
        <w:jc w:val="both"/>
        <w:rPr>
          <w:rFonts w:ascii="Verdana" w:hAnsi="Verdana"/>
          <w:color w:val="auto"/>
          <w:sz w:val="26"/>
          <w:szCs w:val="26"/>
        </w:rPr>
      </w:pPr>
      <w:r w:rsidRPr="00C715C2">
        <w:rPr>
          <w:rFonts w:ascii="Verdana" w:hAnsi="Verdana"/>
          <w:color w:val="auto"/>
          <w:sz w:val="26"/>
          <w:szCs w:val="26"/>
        </w:rPr>
        <w:t>3.  Rehabilitacja pacjentów po alloplas</w:t>
      </w:r>
      <w:r>
        <w:rPr>
          <w:rFonts w:ascii="Verdana" w:hAnsi="Verdana"/>
          <w:color w:val="auto"/>
          <w:sz w:val="26"/>
          <w:szCs w:val="26"/>
        </w:rPr>
        <w:t xml:space="preserve">tyce stawu biodrowego wykazuje </w:t>
      </w:r>
      <w:r w:rsidRPr="00C715C2">
        <w:rPr>
          <w:rFonts w:ascii="Verdana" w:hAnsi="Verdana"/>
          <w:color w:val="auto"/>
          <w:sz w:val="26"/>
          <w:szCs w:val="26"/>
        </w:rPr>
        <w:t xml:space="preserve">istotne działanie przeciwbólowe, przedstawione zarówno </w:t>
      </w:r>
      <w:r>
        <w:rPr>
          <w:rFonts w:ascii="Verdana" w:hAnsi="Verdana"/>
          <w:color w:val="auto"/>
          <w:sz w:val="26"/>
          <w:szCs w:val="26"/>
        </w:rPr>
        <w:t xml:space="preserve"> </w:t>
      </w:r>
      <w:r w:rsidRPr="00C715C2">
        <w:rPr>
          <w:rFonts w:ascii="Verdana" w:hAnsi="Verdana"/>
          <w:color w:val="auto"/>
          <w:sz w:val="26"/>
          <w:szCs w:val="26"/>
        </w:rPr>
        <w:t xml:space="preserve">w skali </w:t>
      </w:r>
      <w:proofErr w:type="spellStart"/>
      <w:r w:rsidRPr="00C715C2">
        <w:rPr>
          <w:rFonts w:ascii="Verdana" w:hAnsi="Verdana"/>
          <w:color w:val="auto"/>
          <w:sz w:val="26"/>
          <w:szCs w:val="26"/>
        </w:rPr>
        <w:t>Laitinena</w:t>
      </w:r>
      <w:proofErr w:type="spellEnd"/>
      <w:r w:rsidRPr="00C715C2">
        <w:rPr>
          <w:rFonts w:ascii="Verdana" w:hAnsi="Verdana"/>
          <w:color w:val="auto"/>
          <w:sz w:val="26"/>
          <w:szCs w:val="26"/>
        </w:rPr>
        <w:t>, jak i skali Harrisa oraz wskaźników WOMAC.</w:t>
      </w:r>
    </w:p>
    <w:p w:rsidR="00356847" w:rsidRPr="0077054B" w:rsidRDefault="00356847" w:rsidP="00356847">
      <w:pPr>
        <w:spacing w:line="360" w:lineRule="auto"/>
        <w:jc w:val="both"/>
        <w:rPr>
          <w:rFonts w:ascii="Verdana" w:hAnsi="Verdana"/>
          <w:bCs/>
          <w:sz w:val="26"/>
          <w:szCs w:val="26"/>
        </w:rPr>
      </w:pPr>
      <w:r w:rsidRPr="00C715C2">
        <w:rPr>
          <w:rFonts w:ascii="Verdana" w:hAnsi="Verdana"/>
          <w:sz w:val="26"/>
          <w:szCs w:val="26"/>
        </w:rPr>
        <w:t xml:space="preserve">4. </w:t>
      </w:r>
      <w:r w:rsidRPr="00C715C2">
        <w:rPr>
          <w:rFonts w:ascii="Verdana" w:hAnsi="Verdana"/>
          <w:bCs/>
          <w:sz w:val="26"/>
          <w:szCs w:val="26"/>
        </w:rPr>
        <w:t>Ograniczenia limitowe ze strony Narodowego Funduszu</w:t>
      </w:r>
      <w:r w:rsidRPr="0077054B">
        <w:rPr>
          <w:rFonts w:ascii="Verdana" w:hAnsi="Verdana"/>
          <w:bCs/>
          <w:sz w:val="26"/>
          <w:szCs w:val="26"/>
        </w:rPr>
        <w:t xml:space="preserve"> Zdrowia uniemożliwiają wczesne rozpoczęcie rehabilitacji, co znacząco wpływa na czynności życiowe osób po alloplastyce stawu biodrowego </w:t>
      </w:r>
      <w:r w:rsidRPr="0077054B">
        <w:rPr>
          <w:rFonts w:ascii="Verdana" w:hAnsi="Verdana"/>
          <w:bCs/>
          <w:sz w:val="26"/>
          <w:szCs w:val="26"/>
        </w:rPr>
        <w:lastRenderedPageBreak/>
        <w:t>i stanowi główne negatywne uwarunkowanie organizacyjne procesu rehabilitacji.</w:t>
      </w:r>
    </w:p>
    <w:p w:rsidR="00356847" w:rsidRPr="0077054B" w:rsidRDefault="00356847" w:rsidP="00356847">
      <w:pPr>
        <w:spacing w:line="360" w:lineRule="auto"/>
        <w:jc w:val="both"/>
        <w:rPr>
          <w:rFonts w:ascii="Verdana" w:hAnsi="Verdana"/>
          <w:bCs/>
          <w:sz w:val="26"/>
          <w:szCs w:val="26"/>
        </w:rPr>
      </w:pPr>
      <w:r w:rsidRPr="0077054B">
        <w:rPr>
          <w:rFonts w:ascii="Verdana" w:hAnsi="Verdana"/>
          <w:bCs/>
          <w:sz w:val="26"/>
          <w:szCs w:val="26"/>
        </w:rPr>
        <w:t>5. Zasadne jest wprowadzenie stopniowych i kompleksowych reform w sektorze zdrowotnym ukierunkowanych na lepsze wykorzystanie funduszy, umożliwiając w ten sposób efektywniejszą rehabilitację, skutkująca oszczędnościami w sektorze publicznym.</w:t>
      </w:r>
    </w:p>
    <w:p w:rsidR="00356847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77054B">
        <w:rPr>
          <w:rFonts w:ascii="Verdana" w:hAnsi="Verdana"/>
          <w:bCs/>
          <w:sz w:val="26"/>
          <w:szCs w:val="26"/>
        </w:rPr>
        <w:t xml:space="preserve">6. Zmiany i reformy nakierowane na zmianę dystrybucji </w:t>
      </w:r>
      <w:r>
        <w:rPr>
          <w:rFonts w:ascii="Verdana" w:hAnsi="Verdana"/>
          <w:bCs/>
          <w:sz w:val="26"/>
          <w:szCs w:val="26"/>
        </w:rPr>
        <w:t xml:space="preserve">                        </w:t>
      </w:r>
      <w:r w:rsidRPr="0077054B">
        <w:rPr>
          <w:rFonts w:ascii="Verdana" w:hAnsi="Verdana"/>
          <w:bCs/>
          <w:sz w:val="26"/>
          <w:szCs w:val="26"/>
        </w:rPr>
        <w:t>i wykorzystania środków mogłyby usprawnić funkcjonowanie publicznego systemu o</w:t>
      </w:r>
      <w:r>
        <w:rPr>
          <w:rFonts w:ascii="Verdana" w:hAnsi="Verdana"/>
          <w:bCs/>
          <w:sz w:val="26"/>
          <w:szCs w:val="26"/>
        </w:rPr>
        <w:t xml:space="preserve">pieki zdrowotnej </w:t>
      </w:r>
      <w:r w:rsidRPr="0077054B">
        <w:rPr>
          <w:rFonts w:ascii="Verdana" w:hAnsi="Verdana"/>
          <w:bCs/>
          <w:sz w:val="26"/>
          <w:szCs w:val="26"/>
        </w:rPr>
        <w:t>i przyczynić się do poprawy jakości życia pacjentów, zadowolonych ze świadczonych przez system usług.</w:t>
      </w:r>
    </w:p>
    <w:p w:rsidR="00356847" w:rsidRPr="0071306E" w:rsidRDefault="00356847" w:rsidP="00356847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:rsidR="000546D4" w:rsidRDefault="000546D4"/>
    <w:sectPr w:rsidR="0005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A88"/>
    <w:multiLevelType w:val="multilevel"/>
    <w:tmpl w:val="6F405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47"/>
    <w:rsid w:val="000546D4"/>
    <w:rsid w:val="003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2015-01-21T01:52:00Z</dcterms:created>
  <dcterms:modified xsi:type="dcterms:W3CDTF">2015-01-21T01:54:00Z</dcterms:modified>
</cp:coreProperties>
</file>